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17" w:rsidRPr="00824B22" w:rsidRDefault="00293017" w:rsidP="0029301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proofErr w:type="spellStart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Робочий</w:t>
      </w:r>
      <w:proofErr w:type="spellEnd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 час </w:t>
      </w:r>
      <w:proofErr w:type="spellStart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педагогічних</w:t>
      </w:r>
      <w:proofErr w:type="spellEnd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 </w:t>
      </w:r>
      <w:proofErr w:type="spellStart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працівникі</w:t>
      </w:r>
      <w:proofErr w:type="gramStart"/>
      <w:r w:rsidRPr="00824B22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в</w:t>
      </w:r>
      <w:proofErr w:type="spellEnd"/>
      <w:proofErr w:type="gramEnd"/>
    </w:p>
    <w:p w:rsidR="00293017" w:rsidRDefault="00293017" w:rsidP="00293017">
      <w:pPr>
        <w:pStyle w:val="a3"/>
      </w:pPr>
    </w:p>
    <w:p w:rsidR="00293017" w:rsidRPr="00824B22" w:rsidRDefault="00293017" w:rsidP="00824B2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824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  <w:r w:rsidRPr="00824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врегулювання</w:t>
      </w:r>
      <w:proofErr w:type="spellEnd"/>
      <w:r w:rsidRPr="00824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обрахування</w:t>
      </w:r>
      <w:proofErr w:type="spellEnd"/>
      <w:r w:rsidRPr="00824B22">
        <w:rPr>
          <w:rFonts w:ascii="Times New Roman" w:hAnsi="Times New Roman" w:cs="Times New Roman"/>
          <w:b/>
          <w:sz w:val="28"/>
          <w:szCs w:val="28"/>
        </w:rPr>
        <w:t xml:space="preserve"> та оплати </w:t>
      </w: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</w:p>
    <w:p w:rsidR="00293017" w:rsidRPr="00824B22" w:rsidRDefault="00293017" w:rsidP="00824B2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24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824B2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ст. 50 Кодексу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нормальна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40 годин 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інтелектуальним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нервовим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скороченої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начальних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урегульовані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27. 08. 2010 р. № 778,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Примірним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статутом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29. 04. 2002 р. № 284,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20. 12. 1993 р. № 455,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1993 р. № 102, 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Галузевою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угодою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ЦК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 2011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>2015 роки.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(час,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тарифну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ставку, 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класне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каб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інетами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18 годин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lastRenderedPageBreak/>
        <w:t>передбачається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планом,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інімально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– 18 годин,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Права,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кореспондуються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18 годин.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пунктом 6.3.1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ЦК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 2011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2015 роки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викладачам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пунктом 63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учителями,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установи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’язковим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Пунктом 20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довести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року (до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учителя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ідношенні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ставки: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класне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– 20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;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– 10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;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майстернями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– 15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>;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кабінетами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– 10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>;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завідування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навчально-дослідними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– 10</w:t>
      </w:r>
      <w:r w:rsidRPr="00824B22">
        <w:rPr>
          <w:rFonts w:ascii="Times New Roman" w:eastAsia="MS Mincho" w:hAnsi="MS Mincho" w:cs="Times New Roman"/>
          <w:sz w:val="28"/>
          <w:szCs w:val="28"/>
        </w:rPr>
        <w:t>‑</w:t>
      </w:r>
      <w:r w:rsidRPr="00824B22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відсоткі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lastRenderedPageBreak/>
        <w:t>Розміри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25. 08. 2004 р. № 1096. 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часом,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36 годин.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учителями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пунктом 21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днями. При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п’ятиденному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щоденної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графіками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змінності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де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п’ятиденного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недоцільним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шестиденний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шестиденний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ним органом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думки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посади,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плану та плану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B22">
        <w:rPr>
          <w:rFonts w:ascii="Times New Roman" w:hAnsi="Times New Roman" w:cs="Times New Roman"/>
          <w:sz w:val="28"/>
          <w:szCs w:val="28"/>
        </w:rPr>
        <w:t xml:space="preserve">Час початку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обідньої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встановлюватись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початку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годин.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lastRenderedPageBreak/>
        <w:t>відпочинку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як правило, через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). Час початку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перерви на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відлучатися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Надурочна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робота, робота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(ст. ст. 71, 73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п. 23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наказом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ним органу (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закладу)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 Робота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компенсуватися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подвійному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черговою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відпусткою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межах часу,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(п. 25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стерства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20.12.93 р. № 455).</w:t>
      </w:r>
      <w:proofErr w:type="gramEnd"/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п. 64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№ 102,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астроном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годинах (60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уроками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B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п. 24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p w:rsidR="00293017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51E3" w:rsidRPr="00824B22" w:rsidRDefault="00293017" w:rsidP="00824B2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2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B2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24B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24B22">
        <w:rPr>
          <w:rFonts w:ascii="Times New Roman" w:hAnsi="Times New Roman" w:cs="Times New Roman"/>
          <w:sz w:val="28"/>
          <w:szCs w:val="28"/>
        </w:rPr>
        <w:t>.</w:t>
      </w:r>
    </w:p>
    <w:sectPr w:rsidR="00BA51E3" w:rsidRPr="00824B22" w:rsidSect="0001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17"/>
    <w:rsid w:val="000102EC"/>
    <w:rsid w:val="00293017"/>
    <w:rsid w:val="00824B22"/>
    <w:rsid w:val="00B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2014-02-03T09:00:00Z</dcterms:created>
  <dcterms:modified xsi:type="dcterms:W3CDTF">2014-02-03T09:47:00Z</dcterms:modified>
</cp:coreProperties>
</file>